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DE2" w:rsidRDefault="00813DE2" w:rsidP="00813DE2">
      <w:pPr>
        <w:shd w:val="clear" w:color="auto" w:fill="F9F7F4"/>
        <w:bidi w:val="0"/>
        <w:spacing w:before="180" w:after="1140" w:line="240" w:lineRule="atLeast"/>
        <w:jc w:val="center"/>
        <w:outlineLvl w:val="1"/>
        <w:rPr>
          <w:rFonts w:ascii="Tahoma" w:eastAsia="Times New Roman" w:hAnsi="Tahoma" w:cs="Tahoma"/>
          <w:color w:val="2D2D36"/>
          <w:sz w:val="36"/>
          <w:szCs w:val="36"/>
        </w:rPr>
      </w:pPr>
      <w:r w:rsidRPr="00813DE2">
        <w:rPr>
          <w:rFonts w:ascii="Tahoma" w:eastAsia="Times New Roman" w:hAnsi="Tahoma" w:cs="Tahoma"/>
          <w:color w:val="2D2D36"/>
          <w:sz w:val="36"/>
          <w:szCs w:val="36"/>
        </w:rPr>
        <w:t>Tell Umm El-'Amr (Sai</w:t>
      </w:r>
      <w:bookmarkStart w:id="0" w:name="_GoBack"/>
      <w:bookmarkEnd w:id="0"/>
      <w:r w:rsidRPr="00813DE2">
        <w:rPr>
          <w:rFonts w:ascii="Tahoma" w:eastAsia="Times New Roman" w:hAnsi="Tahoma" w:cs="Tahoma"/>
          <w:color w:val="2D2D36"/>
          <w:sz w:val="36"/>
          <w:szCs w:val="36"/>
        </w:rPr>
        <w:t xml:space="preserve">nt </w:t>
      </w:r>
      <w:proofErr w:type="spellStart"/>
      <w:r w:rsidRPr="00813DE2">
        <w:rPr>
          <w:rFonts w:ascii="Tahoma" w:eastAsia="Times New Roman" w:hAnsi="Tahoma" w:cs="Tahoma"/>
          <w:color w:val="2D2D36"/>
          <w:sz w:val="36"/>
          <w:szCs w:val="36"/>
        </w:rPr>
        <w:t>Hilarion</w:t>
      </w:r>
      <w:proofErr w:type="spellEnd"/>
      <w:r w:rsidRPr="00813DE2">
        <w:rPr>
          <w:rFonts w:ascii="Tahoma" w:eastAsia="Times New Roman" w:hAnsi="Tahoma" w:cs="Tahoma"/>
          <w:color w:val="2D2D36"/>
          <w:sz w:val="36"/>
          <w:szCs w:val="36"/>
        </w:rPr>
        <w:t xml:space="preserve"> Monastery)</w:t>
      </w:r>
      <w:r>
        <w:rPr>
          <w:rFonts w:ascii="Tahoma" w:eastAsia="Times New Roman" w:hAnsi="Tahoma" w:cs="Tahoma"/>
          <w:color w:val="2D2D36"/>
          <w:sz w:val="36"/>
          <w:szCs w:val="36"/>
        </w:rPr>
        <w:t xml:space="preserve"> </w:t>
      </w:r>
    </w:p>
    <w:p w:rsidR="00813DE2" w:rsidRDefault="00813DE2" w:rsidP="00813DE2">
      <w:pPr>
        <w:pStyle w:val="a6"/>
        <w:shd w:val="clear" w:color="auto" w:fill="F9F7F4"/>
        <w:spacing w:before="0" w:beforeAutospacing="0"/>
        <w:rPr>
          <w:rFonts w:ascii="Georgia" w:hAnsi="Georgia"/>
          <w:color w:val="000000"/>
        </w:rPr>
      </w:pPr>
      <w:r>
        <w:rPr>
          <w:rFonts w:ascii="Georgia" w:hAnsi="Georgia"/>
          <w:color w:val="000000"/>
        </w:rPr>
        <w:t xml:space="preserve">Located on coastal dunes 10 kilometers south of Gaza City, the archaeological remains of Tell Umm el-‘Amr span more than four centuries, from the late Roman Empire to the Umayyad period. Characterized by five successive churches, bath and sanctuary complexes, geometric mosaics, and an expansive crypt, this Christian monastery was one of the largest in the Middle East. The earliest building, dating to the fourth century, is attributed to Saint </w:t>
      </w:r>
      <w:proofErr w:type="spellStart"/>
      <w:r>
        <w:rPr>
          <w:rFonts w:ascii="Georgia" w:hAnsi="Georgia"/>
          <w:color w:val="000000"/>
        </w:rPr>
        <w:t>Hilarion</w:t>
      </w:r>
      <w:proofErr w:type="spellEnd"/>
      <w:r>
        <w:rPr>
          <w:rFonts w:ascii="Georgia" w:hAnsi="Georgia"/>
          <w:color w:val="000000"/>
        </w:rPr>
        <w:t>, a native of the Gaza region and the father of Palestinian monasticism. Abandoned after a seventh-century earthquake and uncovered by local archaeologists in 1999, the site stands amidst olive groves and dwellings of the adjacent town. As the only archaeological site accessible to the public in Gaza, Tell Umm el-'Amr is an enduring and treasured vestige in an area torn by conflict. Emergency protective measures were implemented in 2010, and local authorities are now interested in advancing the long-term preservation of the site and developing tourism infrastructure to encourage visitation, engage the community, and enhance the local economy.</w:t>
      </w:r>
    </w:p>
    <w:p w:rsidR="00813DE2" w:rsidRDefault="00813DE2" w:rsidP="00813DE2">
      <w:pPr>
        <w:pStyle w:val="a6"/>
        <w:shd w:val="clear" w:color="auto" w:fill="FFFFFF"/>
        <w:spacing w:before="0" w:beforeAutospacing="0" w:after="300" w:afterAutospacing="0"/>
        <w:rPr>
          <w:rFonts w:ascii="PT Sans" w:hAnsi="PT Sans"/>
          <w:color w:val="747474"/>
          <w:sz w:val="21"/>
          <w:szCs w:val="21"/>
        </w:rPr>
      </w:pPr>
    </w:p>
    <w:p w:rsidR="00813DE2" w:rsidRDefault="00813DE2" w:rsidP="00813DE2">
      <w:pPr>
        <w:pStyle w:val="a6"/>
        <w:shd w:val="clear" w:color="auto" w:fill="FFFFFF"/>
        <w:spacing w:before="0" w:beforeAutospacing="0" w:after="300" w:afterAutospacing="0"/>
        <w:rPr>
          <w:rFonts w:ascii="PT Sans" w:hAnsi="PT Sans"/>
          <w:color w:val="747474"/>
          <w:sz w:val="21"/>
          <w:szCs w:val="21"/>
        </w:rPr>
      </w:pPr>
    </w:p>
    <w:p w:rsidR="00813DE2" w:rsidRDefault="00813DE2" w:rsidP="00813DE2">
      <w:pPr>
        <w:pStyle w:val="a6"/>
        <w:shd w:val="clear" w:color="auto" w:fill="FFFFFF"/>
        <w:spacing w:before="0" w:beforeAutospacing="0" w:after="300" w:afterAutospacing="0"/>
        <w:rPr>
          <w:rFonts w:ascii="PT Sans" w:hAnsi="PT Sans"/>
          <w:color w:val="747474"/>
          <w:sz w:val="21"/>
          <w:szCs w:val="21"/>
        </w:rPr>
      </w:pPr>
      <w:r>
        <w:rPr>
          <w:rFonts w:ascii="PT Sans" w:hAnsi="PT Sans"/>
          <w:color w:val="747474"/>
          <w:sz w:val="21"/>
          <w:szCs w:val="21"/>
        </w:rPr>
        <w:t xml:space="preserve">St. </w:t>
      </w:r>
      <w:proofErr w:type="spellStart"/>
      <w:r>
        <w:rPr>
          <w:rFonts w:ascii="PT Sans" w:hAnsi="PT Sans"/>
          <w:color w:val="747474"/>
          <w:sz w:val="21"/>
          <w:szCs w:val="21"/>
        </w:rPr>
        <w:t>Hilarion</w:t>
      </w:r>
      <w:proofErr w:type="spellEnd"/>
      <w:r>
        <w:rPr>
          <w:rFonts w:ascii="PT Sans" w:hAnsi="PT Sans"/>
          <w:color w:val="747474"/>
          <w:sz w:val="21"/>
          <w:szCs w:val="21"/>
        </w:rPr>
        <w:t xml:space="preserve"> Monastery is located on the site of Khirbet Umm Amir, at the top of a high sand dune about 15 km south of Gaza City, 3 km west of </w:t>
      </w:r>
      <w:proofErr w:type="spellStart"/>
      <w:r>
        <w:rPr>
          <w:rFonts w:ascii="PT Sans" w:hAnsi="PT Sans"/>
          <w:color w:val="747474"/>
          <w:sz w:val="21"/>
          <w:szCs w:val="21"/>
        </w:rPr>
        <w:t>Nusseirat</w:t>
      </w:r>
      <w:proofErr w:type="spellEnd"/>
      <w:r>
        <w:rPr>
          <w:rFonts w:ascii="PT Sans" w:hAnsi="PT Sans"/>
          <w:color w:val="747474"/>
          <w:sz w:val="21"/>
          <w:szCs w:val="21"/>
        </w:rPr>
        <w:t>, and 300 m from the Mediterranean Coast. The ruins at the site include church buildings, a monastery (with chapel, baptistery, burial crypt, and monks’ cells), a</w:t>
      </w:r>
      <w:r>
        <w:rPr>
          <w:rStyle w:val="apple-converted-space"/>
          <w:rFonts w:ascii="PT Sans" w:hAnsi="PT Sans"/>
          <w:color w:val="747474"/>
          <w:sz w:val="21"/>
          <w:szCs w:val="21"/>
        </w:rPr>
        <w:t> </w:t>
      </w:r>
      <w:proofErr w:type="spellStart"/>
      <w:r>
        <w:rPr>
          <w:rStyle w:val="a7"/>
          <w:rFonts w:ascii="PT Sans" w:hAnsi="PT Sans"/>
          <w:color w:val="747474"/>
          <w:sz w:val="21"/>
          <w:szCs w:val="21"/>
        </w:rPr>
        <w:t>hammam</w:t>
      </w:r>
      <w:proofErr w:type="spellEnd"/>
      <w:r>
        <w:rPr>
          <w:rFonts w:ascii="PT Sans" w:hAnsi="PT Sans"/>
          <w:color w:val="747474"/>
          <w:sz w:val="21"/>
          <w:szCs w:val="21"/>
        </w:rPr>
        <w:t xml:space="preserve">, and a wall encircling the complex.  Within the buildings, mosaics of figures and geometric designs adorn the floors. The Monastery’s name comes from the belief that the site was originally built by St. </w:t>
      </w:r>
      <w:proofErr w:type="spellStart"/>
      <w:r>
        <w:rPr>
          <w:rFonts w:ascii="PT Sans" w:hAnsi="PT Sans"/>
          <w:color w:val="747474"/>
          <w:sz w:val="21"/>
          <w:szCs w:val="21"/>
        </w:rPr>
        <w:t>Hilarion</w:t>
      </w:r>
      <w:proofErr w:type="spellEnd"/>
      <w:r>
        <w:rPr>
          <w:rFonts w:ascii="PT Sans" w:hAnsi="PT Sans"/>
          <w:color w:val="747474"/>
          <w:sz w:val="21"/>
          <w:szCs w:val="21"/>
        </w:rPr>
        <w:t xml:space="preserve"> and is also his final resting place.</w:t>
      </w:r>
    </w:p>
    <w:p w:rsidR="00813DE2" w:rsidRDefault="00813DE2" w:rsidP="00813DE2">
      <w:pPr>
        <w:pStyle w:val="a6"/>
        <w:shd w:val="clear" w:color="auto" w:fill="FFFFFF"/>
        <w:spacing w:before="0" w:beforeAutospacing="0" w:after="300" w:afterAutospacing="0"/>
        <w:rPr>
          <w:rFonts w:ascii="PT Sans" w:hAnsi="PT Sans"/>
          <w:color w:val="747474"/>
          <w:sz w:val="21"/>
          <w:szCs w:val="21"/>
        </w:rPr>
      </w:pPr>
      <w:r>
        <w:rPr>
          <w:rFonts w:ascii="PT Sans" w:hAnsi="PT Sans"/>
          <w:color w:val="747474"/>
          <w:sz w:val="21"/>
          <w:szCs w:val="21"/>
        </w:rPr>
        <w:t>The ruins located on the site are believed to date back to the 4</w:t>
      </w:r>
      <w:r>
        <w:rPr>
          <w:rFonts w:ascii="PT Sans" w:hAnsi="PT Sans"/>
          <w:color w:val="747474"/>
          <w:sz w:val="16"/>
          <w:szCs w:val="16"/>
          <w:vertAlign w:val="superscript"/>
        </w:rPr>
        <w:t>th</w:t>
      </w:r>
      <w:r>
        <w:rPr>
          <w:rStyle w:val="apple-converted-space"/>
          <w:rFonts w:ascii="PT Sans" w:hAnsi="PT Sans"/>
          <w:color w:val="747474"/>
          <w:sz w:val="21"/>
          <w:szCs w:val="21"/>
        </w:rPr>
        <w:t> </w:t>
      </w:r>
      <w:r>
        <w:rPr>
          <w:rFonts w:ascii="PT Sans" w:hAnsi="PT Sans"/>
          <w:color w:val="747474"/>
          <w:sz w:val="21"/>
          <w:szCs w:val="21"/>
        </w:rPr>
        <w:t>to 8</w:t>
      </w:r>
      <w:r>
        <w:rPr>
          <w:rFonts w:ascii="PT Sans" w:hAnsi="PT Sans"/>
          <w:color w:val="747474"/>
          <w:sz w:val="16"/>
          <w:szCs w:val="16"/>
          <w:vertAlign w:val="superscript"/>
        </w:rPr>
        <w:t>th</w:t>
      </w:r>
      <w:r>
        <w:rPr>
          <w:rStyle w:val="apple-converted-space"/>
          <w:rFonts w:ascii="PT Sans" w:hAnsi="PT Sans"/>
          <w:color w:val="747474"/>
          <w:sz w:val="21"/>
          <w:szCs w:val="21"/>
        </w:rPr>
        <w:t> </w:t>
      </w:r>
      <w:r>
        <w:rPr>
          <w:rFonts w:ascii="PT Sans" w:hAnsi="PT Sans"/>
          <w:color w:val="747474"/>
          <w:sz w:val="21"/>
          <w:szCs w:val="21"/>
        </w:rPr>
        <w:t xml:space="preserve">centuries. The site was first settled by St. </w:t>
      </w:r>
      <w:proofErr w:type="spellStart"/>
      <w:r>
        <w:rPr>
          <w:rFonts w:ascii="PT Sans" w:hAnsi="PT Sans"/>
          <w:color w:val="747474"/>
          <w:sz w:val="21"/>
          <w:szCs w:val="21"/>
        </w:rPr>
        <w:t>Hilarion</w:t>
      </w:r>
      <w:proofErr w:type="spellEnd"/>
      <w:r>
        <w:rPr>
          <w:rFonts w:ascii="PT Sans" w:hAnsi="PT Sans"/>
          <w:color w:val="747474"/>
          <w:sz w:val="21"/>
          <w:szCs w:val="21"/>
        </w:rPr>
        <w:t>, a Gazan from the village of Tabatha who had converted to Christianity in Egypt, during the 4</w:t>
      </w:r>
      <w:r>
        <w:rPr>
          <w:rFonts w:ascii="PT Sans" w:hAnsi="PT Sans"/>
          <w:color w:val="747474"/>
          <w:sz w:val="16"/>
          <w:szCs w:val="16"/>
          <w:vertAlign w:val="superscript"/>
        </w:rPr>
        <w:t>th</w:t>
      </w:r>
      <w:r>
        <w:rPr>
          <w:rStyle w:val="apple-converted-space"/>
          <w:rFonts w:ascii="PT Sans" w:hAnsi="PT Sans"/>
          <w:color w:val="747474"/>
          <w:sz w:val="21"/>
          <w:szCs w:val="21"/>
        </w:rPr>
        <w:t> </w:t>
      </w:r>
      <w:r>
        <w:rPr>
          <w:rFonts w:ascii="PT Sans" w:hAnsi="PT Sans"/>
          <w:color w:val="747474"/>
          <w:sz w:val="21"/>
          <w:szCs w:val="21"/>
        </w:rPr>
        <w:t xml:space="preserve">century as a hermitage. After 30 years, the monastery had attracted over 400 monks and the buildings of the complex were added around the church. In 362AD the monastery was destroyed and St. </w:t>
      </w:r>
      <w:proofErr w:type="spellStart"/>
      <w:r>
        <w:rPr>
          <w:rFonts w:ascii="PT Sans" w:hAnsi="PT Sans"/>
          <w:color w:val="747474"/>
          <w:sz w:val="21"/>
          <w:szCs w:val="21"/>
        </w:rPr>
        <w:t>Hilarion</w:t>
      </w:r>
      <w:proofErr w:type="spellEnd"/>
      <w:r>
        <w:rPr>
          <w:rFonts w:ascii="PT Sans" w:hAnsi="PT Sans"/>
          <w:color w:val="747474"/>
          <w:sz w:val="21"/>
          <w:szCs w:val="21"/>
        </w:rPr>
        <w:t xml:space="preserve"> was forced to flee by the Julian the Apostate. Eventually the complex was rebuilt and the remains of St. </w:t>
      </w:r>
      <w:proofErr w:type="spellStart"/>
      <w:r>
        <w:rPr>
          <w:rFonts w:ascii="PT Sans" w:hAnsi="PT Sans"/>
          <w:color w:val="747474"/>
          <w:sz w:val="21"/>
          <w:szCs w:val="21"/>
        </w:rPr>
        <w:t>Hilarion</w:t>
      </w:r>
      <w:proofErr w:type="spellEnd"/>
      <w:r>
        <w:rPr>
          <w:rFonts w:ascii="PT Sans" w:hAnsi="PT Sans"/>
          <w:color w:val="747474"/>
          <w:sz w:val="21"/>
          <w:szCs w:val="21"/>
        </w:rPr>
        <w:t xml:space="preserve"> were buried there around 371AD.</w:t>
      </w:r>
    </w:p>
    <w:p w:rsidR="00813DE2" w:rsidRDefault="00813DE2" w:rsidP="00813DE2">
      <w:pPr>
        <w:pStyle w:val="a6"/>
        <w:shd w:val="clear" w:color="auto" w:fill="FFFFFF"/>
        <w:spacing w:before="0" w:beforeAutospacing="0" w:after="300" w:afterAutospacing="0"/>
        <w:rPr>
          <w:rFonts w:ascii="PT Sans" w:hAnsi="PT Sans"/>
          <w:color w:val="747474"/>
          <w:sz w:val="21"/>
          <w:szCs w:val="21"/>
        </w:rPr>
      </w:pPr>
      <w:r>
        <w:rPr>
          <w:rFonts w:ascii="PT Sans" w:hAnsi="PT Sans"/>
          <w:color w:val="747474"/>
          <w:sz w:val="21"/>
          <w:szCs w:val="21"/>
        </w:rPr>
        <w:t xml:space="preserve">In 638AD, after the Muslim conquest, St. </w:t>
      </w:r>
      <w:proofErr w:type="spellStart"/>
      <w:r>
        <w:rPr>
          <w:rFonts w:ascii="PT Sans" w:hAnsi="PT Sans"/>
          <w:color w:val="747474"/>
          <w:sz w:val="21"/>
          <w:szCs w:val="21"/>
        </w:rPr>
        <w:t>Hilarion’s</w:t>
      </w:r>
      <w:proofErr w:type="spellEnd"/>
      <w:r>
        <w:rPr>
          <w:rFonts w:ascii="PT Sans" w:hAnsi="PT Sans"/>
          <w:color w:val="747474"/>
          <w:sz w:val="21"/>
          <w:szCs w:val="21"/>
        </w:rPr>
        <w:t xml:space="preserve"> Monastery ceased to function. By the 8</w:t>
      </w:r>
      <w:r>
        <w:rPr>
          <w:rFonts w:ascii="PT Sans" w:hAnsi="PT Sans"/>
          <w:color w:val="747474"/>
          <w:sz w:val="16"/>
          <w:szCs w:val="16"/>
          <w:vertAlign w:val="superscript"/>
        </w:rPr>
        <w:t>th</w:t>
      </w:r>
      <w:r>
        <w:rPr>
          <w:rStyle w:val="apple-converted-space"/>
          <w:rFonts w:ascii="PT Sans" w:hAnsi="PT Sans"/>
          <w:color w:val="747474"/>
          <w:sz w:val="21"/>
          <w:szCs w:val="21"/>
        </w:rPr>
        <w:t> </w:t>
      </w:r>
      <w:r>
        <w:rPr>
          <w:rFonts w:ascii="PT Sans" w:hAnsi="PT Sans"/>
          <w:color w:val="747474"/>
          <w:sz w:val="21"/>
          <w:szCs w:val="21"/>
        </w:rPr>
        <w:t xml:space="preserve">century, the </w:t>
      </w:r>
      <w:proofErr w:type="spellStart"/>
      <w:r>
        <w:rPr>
          <w:rFonts w:ascii="PT Sans" w:hAnsi="PT Sans"/>
          <w:color w:val="747474"/>
          <w:sz w:val="21"/>
          <w:szCs w:val="21"/>
        </w:rPr>
        <w:t>Umayyads</w:t>
      </w:r>
      <w:proofErr w:type="spellEnd"/>
      <w:r>
        <w:rPr>
          <w:rFonts w:ascii="PT Sans" w:hAnsi="PT Sans"/>
          <w:color w:val="747474"/>
          <w:sz w:val="21"/>
          <w:szCs w:val="21"/>
        </w:rPr>
        <w:t xml:space="preserve"> had converted all of the buildings of the complex. It is believed that the</w:t>
      </w:r>
      <w:r>
        <w:rPr>
          <w:rStyle w:val="apple-converted-space"/>
          <w:rFonts w:ascii="PT Sans" w:hAnsi="PT Sans"/>
          <w:color w:val="747474"/>
          <w:sz w:val="21"/>
          <w:szCs w:val="21"/>
        </w:rPr>
        <w:t> </w:t>
      </w:r>
      <w:proofErr w:type="spellStart"/>
      <w:r>
        <w:rPr>
          <w:rStyle w:val="a7"/>
          <w:rFonts w:ascii="PT Sans" w:hAnsi="PT Sans"/>
          <w:color w:val="747474"/>
          <w:sz w:val="21"/>
          <w:szCs w:val="21"/>
        </w:rPr>
        <w:t>hammam</w:t>
      </w:r>
      <w:proofErr w:type="spellEnd"/>
      <w:r>
        <w:rPr>
          <w:rStyle w:val="apple-converted-space"/>
          <w:rFonts w:ascii="PT Sans" w:hAnsi="PT Sans"/>
          <w:color w:val="747474"/>
          <w:sz w:val="21"/>
          <w:szCs w:val="21"/>
        </w:rPr>
        <w:t> </w:t>
      </w:r>
      <w:r>
        <w:rPr>
          <w:rFonts w:ascii="PT Sans" w:hAnsi="PT Sans"/>
          <w:color w:val="747474"/>
          <w:sz w:val="21"/>
          <w:szCs w:val="21"/>
        </w:rPr>
        <w:t>was added during this period. After a devastating earthquake, the site was abandoned and used as a stone quarry by the residents of the neighboring villages.</w:t>
      </w:r>
    </w:p>
    <w:p w:rsidR="00813DE2" w:rsidRDefault="00813DE2" w:rsidP="00813DE2">
      <w:pPr>
        <w:pStyle w:val="a6"/>
        <w:shd w:val="clear" w:color="auto" w:fill="FFFFFF"/>
        <w:spacing w:before="0" w:beforeAutospacing="0" w:after="300" w:afterAutospacing="0"/>
        <w:rPr>
          <w:rFonts w:ascii="PT Sans" w:hAnsi="PT Sans"/>
          <w:color w:val="747474"/>
          <w:sz w:val="21"/>
          <w:szCs w:val="21"/>
        </w:rPr>
      </w:pPr>
      <w:r>
        <w:rPr>
          <w:rFonts w:ascii="PT Sans" w:hAnsi="PT Sans"/>
          <w:color w:val="747474"/>
          <w:sz w:val="21"/>
          <w:szCs w:val="21"/>
        </w:rPr>
        <w:t>The site is currently undergoing archaeological excavation, which has unearthed many artifacts from its long history.</w:t>
      </w:r>
    </w:p>
    <w:p w:rsidR="00813DE2" w:rsidRPr="00813DE2" w:rsidRDefault="00813DE2" w:rsidP="00813DE2">
      <w:pPr>
        <w:jc w:val="right"/>
        <w:rPr>
          <w:rFonts w:hint="cs"/>
          <w:rtl/>
        </w:rPr>
      </w:pPr>
    </w:p>
    <w:p w:rsidR="00813DE2" w:rsidRDefault="00813DE2">
      <w:pPr>
        <w:rPr>
          <w:rFonts w:hint="cs"/>
          <w:rtl/>
        </w:rPr>
      </w:pPr>
    </w:p>
    <w:p w:rsidR="00813DE2" w:rsidRDefault="00813DE2">
      <w:pPr>
        <w:rPr>
          <w:rFonts w:hint="cs"/>
          <w:rtl/>
        </w:rPr>
      </w:pPr>
    </w:p>
    <w:p w:rsidR="00813DE2" w:rsidRDefault="00813DE2">
      <w:pPr>
        <w:rPr>
          <w:rFonts w:hint="cs"/>
          <w:rtl/>
        </w:rPr>
      </w:pPr>
    </w:p>
    <w:p w:rsidR="00813DE2" w:rsidRDefault="00813DE2">
      <w:pPr>
        <w:rPr>
          <w:rFonts w:hint="cs"/>
          <w:rtl/>
        </w:rPr>
      </w:pPr>
    </w:p>
    <w:p w:rsidR="00F70EC9" w:rsidRDefault="00813DE2">
      <w:pPr>
        <w:rPr>
          <w:rFonts w:hint="cs"/>
        </w:rPr>
      </w:pPr>
      <w:r>
        <w:rPr>
          <w:rFonts w:hint="cs"/>
          <w:noProof/>
        </w:rPr>
        <w:drawing>
          <wp:inline distT="0" distB="0" distL="0" distR="0">
            <wp:extent cx="5274310" cy="3515995"/>
            <wp:effectExtent l="0" t="0" r="2540" b="825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735_1176543029052897_4013293274535260155_n.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0915"/>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751_1180281682012365_1215521780193573197_n.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5124_1176546465719220_6610518129127665963_n.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16196_1176543902386143_5496438182472191868_n.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6918_1176553439051856_370315767825067734_n.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6923_1176551042385429_571705432072081860_n.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7162_1176547779052422_6927262567287599543_n.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93415_1177105375663329_1131336845706659523_n.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98681_1176548312385702_892854739472250887_n.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98729_1176547372385796_2697073405205160210_n.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01264_1176546442385889_4211043859594711130_n.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0748_1176549585718908_675588732942369936_n.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2961005"/>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2639_1181705791869954_2072682279727396311_n.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r>
        <w:rPr>
          <w:rFonts w:hint="cs"/>
          <w:noProof/>
        </w:rPr>
        <w:drawing>
          <wp:inline distT="0" distB="0" distL="0" distR="0">
            <wp:extent cx="5274310" cy="3515995"/>
            <wp:effectExtent l="0" t="0" r="2540" b="825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2740_1176550652385468_8987447511188554915_n.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5353_1176549832385550_5631493307397778730_n.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0915"/>
            <wp:effectExtent l="0" t="0" r="254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5449_1180281625345704_5748819076423366129_n.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5640_1176546595719207_4742100118273962339_n.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0915"/>
            <wp:effectExtent l="0" t="0" r="254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3390_1180281642012369_345532090086321963_n.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3649_1176543879052812_1123830982888407486_n.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3780_1176547562385777_7854093789589639898_n.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506_1176547819052418_5729665049593016161_n.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616_1176547649052435_1780314164200992751_n.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5995"/>
            <wp:effectExtent l="0" t="0" r="2540" b="825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5435_1176553829051817_7278930229950425053_n.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drawing>
          <wp:inline distT="0" distB="0" distL="0" distR="0">
            <wp:extent cx="5274310" cy="3515995"/>
            <wp:effectExtent l="0" t="0" r="2540" b="825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1929_1176544329052767_2615799676512928357_n.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0915"/>
            <wp:effectExtent l="0" t="0" r="254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2348_1180281305345736_4386722244793107040_n.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drawing>
          <wp:inline distT="0" distB="0" distL="0" distR="0">
            <wp:extent cx="5274310" cy="3510915"/>
            <wp:effectExtent l="0" t="0" r="254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6542_1180281325345734_2802870983307136838_n.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lastRenderedPageBreak/>
        <w:drawing>
          <wp:inline distT="0" distB="0" distL="0" distR="0">
            <wp:extent cx="5274310" cy="3510915"/>
            <wp:effectExtent l="0" t="0" r="254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6799_1180281485345718_695949256475163389_n.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drawing>
          <wp:inline distT="0" distB="0" distL="0" distR="0">
            <wp:extent cx="5274310" cy="3515995"/>
            <wp:effectExtent l="0" t="0" r="2540" b="825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6876_1177790642261469_3781282444937451380_n.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hint="cs"/>
          <w:noProof/>
        </w:rPr>
        <w:lastRenderedPageBreak/>
        <w:drawing>
          <wp:inline distT="0" distB="0" distL="0" distR="0">
            <wp:extent cx="5274310" cy="3510915"/>
            <wp:effectExtent l="0" t="0" r="254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2717_1180281732012360_5815962733743461802_n.jpg"/>
                    <pic:cNvPicPr/>
                  </pic:nvPicPr>
                  <pic:blipFill>
                    <a:blip r:embed="rId35">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drawing>
          <wp:inline distT="0" distB="0" distL="0" distR="0">
            <wp:extent cx="5274310" cy="2961005"/>
            <wp:effectExtent l="0" t="0" r="254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2753_1181705475203319_3611782022256910749_n.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r>
        <w:rPr>
          <w:rFonts w:hint="cs"/>
          <w:noProof/>
        </w:rPr>
        <w:lastRenderedPageBreak/>
        <w:drawing>
          <wp:inline distT="0" distB="0" distL="0" distR="0">
            <wp:extent cx="5274310" cy="3510915"/>
            <wp:effectExtent l="0" t="0" r="254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2779_1180281758679024_7222625328579018595_n.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drawing>
          <wp:inline distT="0" distB="0" distL="0" distR="0">
            <wp:extent cx="5274310" cy="3510915"/>
            <wp:effectExtent l="0" t="0" r="254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3096_1180281838679016_2278102252385924724_n.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lastRenderedPageBreak/>
        <w:drawing>
          <wp:inline distT="0" distB="0" distL="0" distR="0">
            <wp:extent cx="5274310" cy="2961005"/>
            <wp:effectExtent l="0" t="0" r="254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1911_1181705825203284_9077331872400065752_n.jpg"/>
                    <pic:cNvPicPr/>
                  </pic:nvPicPr>
                  <pic:blipFill>
                    <a:blip r:embed="rId39">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r>
        <w:rPr>
          <w:rFonts w:hint="cs"/>
          <w:noProof/>
        </w:rPr>
        <w:drawing>
          <wp:inline distT="0" distB="0" distL="0" distR="0">
            <wp:extent cx="5274310" cy="2961005"/>
            <wp:effectExtent l="0" t="0" r="254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4109_1181705565203310_4058774916546866210_n.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r>
        <w:rPr>
          <w:rFonts w:hint="cs"/>
          <w:noProof/>
        </w:rPr>
        <w:drawing>
          <wp:inline distT="0" distB="0" distL="0" distR="0">
            <wp:extent cx="5274310" cy="1845945"/>
            <wp:effectExtent l="0" t="0" r="2540" b="190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4290_1181705648536635_5092295210449220782_n.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1845945"/>
                    </a:xfrm>
                    <a:prstGeom prst="rect">
                      <a:avLst/>
                    </a:prstGeom>
                  </pic:spPr>
                </pic:pic>
              </a:graphicData>
            </a:graphic>
          </wp:inline>
        </w:drawing>
      </w:r>
      <w:r>
        <w:rPr>
          <w:rFonts w:hint="cs"/>
          <w:noProof/>
        </w:rPr>
        <w:lastRenderedPageBreak/>
        <w:drawing>
          <wp:inline distT="0" distB="0" distL="0" distR="0">
            <wp:extent cx="5274310" cy="3482975"/>
            <wp:effectExtent l="0" t="0" r="2540" b="317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4399_1181705971869936_2256875054870896688_n.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3482975"/>
                    </a:xfrm>
                    <a:prstGeom prst="rect">
                      <a:avLst/>
                    </a:prstGeom>
                  </pic:spPr>
                </pic:pic>
              </a:graphicData>
            </a:graphic>
          </wp:inline>
        </w:drawing>
      </w:r>
      <w:r>
        <w:rPr>
          <w:rFonts w:hint="cs"/>
          <w:noProof/>
        </w:rPr>
        <w:drawing>
          <wp:inline distT="0" distB="0" distL="0" distR="0">
            <wp:extent cx="5274310" cy="3510915"/>
            <wp:effectExtent l="0" t="0" r="254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5973_1180281715345695_9206314875812042604_n.jpg"/>
                    <pic:cNvPicPr/>
                  </pic:nvPicPr>
                  <pic:blipFill>
                    <a:blip r:embed="rId43">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r>
        <w:rPr>
          <w:rFonts w:hint="cs"/>
          <w:noProof/>
        </w:rPr>
        <w:lastRenderedPageBreak/>
        <w:drawing>
          <wp:inline distT="0" distB="0" distL="0" distR="0">
            <wp:extent cx="5274310" cy="2961005"/>
            <wp:effectExtent l="0" t="0" r="254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2803_1181705721869961_2938897737350720263_n.jpg"/>
                    <pic:cNvPicPr/>
                  </pic:nvPicPr>
                  <pic:blipFill>
                    <a:blip r:embed="rId44">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r>
        <w:rPr>
          <w:rFonts w:hint="cs"/>
          <w:noProof/>
        </w:rPr>
        <w:drawing>
          <wp:inline distT="0" distB="0" distL="0" distR="0">
            <wp:extent cx="5274310" cy="2961005"/>
            <wp:effectExtent l="0" t="0" r="254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3380_1181705395203327_4780916070611931413_n.jpg"/>
                    <pic:cNvPicPr/>
                  </pic:nvPicPr>
                  <pic:blipFill>
                    <a:blip r:embed="rId45">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r>
        <w:rPr>
          <w:rFonts w:hint="cs"/>
          <w:noProof/>
        </w:rPr>
        <w:lastRenderedPageBreak/>
        <w:drawing>
          <wp:inline distT="0" distB="0" distL="0" distR="0">
            <wp:extent cx="5274310" cy="3045460"/>
            <wp:effectExtent l="0" t="0" r="2540" b="254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sa.png"/>
                    <pic:cNvPicPr/>
                  </pic:nvPicPr>
                  <pic:blipFill>
                    <a:blip r:embed="rId46">
                      <a:extLst>
                        <a:ext uri="{28A0092B-C50C-407E-A947-70E740481C1C}">
                          <a14:useLocalDpi xmlns:a14="http://schemas.microsoft.com/office/drawing/2010/main" val="0"/>
                        </a:ext>
                      </a:extLst>
                    </a:blip>
                    <a:stretch>
                      <a:fillRect/>
                    </a:stretch>
                  </pic:blipFill>
                  <pic:spPr>
                    <a:xfrm>
                      <a:off x="0" y="0"/>
                      <a:ext cx="5274310" cy="3045460"/>
                    </a:xfrm>
                    <a:prstGeom prst="rect">
                      <a:avLst/>
                    </a:prstGeom>
                  </pic:spPr>
                </pic:pic>
              </a:graphicData>
            </a:graphic>
          </wp:inline>
        </w:drawing>
      </w:r>
      <w:r>
        <w:rPr>
          <w:rFonts w:hint="cs"/>
          <w:noProof/>
        </w:rPr>
        <w:drawing>
          <wp:inline distT="0" distB="0" distL="0" distR="0">
            <wp:extent cx="5274310" cy="3956050"/>
            <wp:effectExtent l="0" t="0" r="2540" b="635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apses and the crypt seen from the southwest, 2002.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cs"/>
          <w:noProof/>
        </w:rPr>
        <w:lastRenderedPageBreak/>
        <w:drawing>
          <wp:inline distT="0" distB="0" distL="0" distR="0">
            <wp:extent cx="5274310" cy="3956050"/>
            <wp:effectExtent l="0" t="0" r="2540" b="635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ath complex seen from the north, 2002.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F70EC9" w:rsidSect="00EC41BB">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B75" w:rsidRDefault="00353B75" w:rsidP="00813DE2">
      <w:pPr>
        <w:spacing w:after="0" w:line="240" w:lineRule="auto"/>
      </w:pPr>
      <w:r>
        <w:separator/>
      </w:r>
    </w:p>
  </w:endnote>
  <w:endnote w:type="continuationSeparator" w:id="0">
    <w:p w:rsidR="00353B75" w:rsidRDefault="00353B75" w:rsidP="00813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B75" w:rsidRDefault="00353B75" w:rsidP="00813DE2">
      <w:pPr>
        <w:spacing w:after="0" w:line="240" w:lineRule="auto"/>
      </w:pPr>
      <w:r>
        <w:separator/>
      </w:r>
    </w:p>
  </w:footnote>
  <w:footnote w:type="continuationSeparator" w:id="0">
    <w:p w:rsidR="00353B75" w:rsidRDefault="00353B75" w:rsidP="00813D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DE2"/>
    <w:rsid w:val="00353B75"/>
    <w:rsid w:val="00813DE2"/>
    <w:rsid w:val="00EC41BB"/>
    <w:rsid w:val="00F70E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813DE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13DE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13DE2"/>
    <w:rPr>
      <w:rFonts w:ascii="Tahoma" w:hAnsi="Tahoma" w:cs="Tahoma"/>
      <w:sz w:val="16"/>
      <w:szCs w:val="16"/>
    </w:rPr>
  </w:style>
  <w:style w:type="paragraph" w:styleId="a4">
    <w:name w:val="header"/>
    <w:basedOn w:val="a"/>
    <w:link w:val="Char0"/>
    <w:uiPriority w:val="99"/>
    <w:unhideWhenUsed/>
    <w:rsid w:val="00813DE2"/>
    <w:pPr>
      <w:tabs>
        <w:tab w:val="center" w:pos="4153"/>
        <w:tab w:val="right" w:pos="8306"/>
      </w:tabs>
      <w:spacing w:after="0" w:line="240" w:lineRule="auto"/>
    </w:pPr>
  </w:style>
  <w:style w:type="character" w:customStyle="1" w:styleId="Char0">
    <w:name w:val="رأس الصفحة Char"/>
    <w:basedOn w:val="a0"/>
    <w:link w:val="a4"/>
    <w:uiPriority w:val="99"/>
    <w:rsid w:val="00813DE2"/>
  </w:style>
  <w:style w:type="paragraph" w:styleId="a5">
    <w:name w:val="footer"/>
    <w:basedOn w:val="a"/>
    <w:link w:val="Char1"/>
    <w:uiPriority w:val="99"/>
    <w:unhideWhenUsed/>
    <w:rsid w:val="00813DE2"/>
    <w:pPr>
      <w:tabs>
        <w:tab w:val="center" w:pos="4153"/>
        <w:tab w:val="right" w:pos="8306"/>
      </w:tabs>
      <w:spacing w:after="0" w:line="240" w:lineRule="auto"/>
    </w:pPr>
  </w:style>
  <w:style w:type="character" w:customStyle="1" w:styleId="Char1">
    <w:name w:val="تذييل الصفحة Char"/>
    <w:basedOn w:val="a0"/>
    <w:link w:val="a5"/>
    <w:uiPriority w:val="99"/>
    <w:rsid w:val="00813DE2"/>
  </w:style>
  <w:style w:type="character" w:customStyle="1" w:styleId="2Char">
    <w:name w:val="عنوان 2 Char"/>
    <w:basedOn w:val="a0"/>
    <w:link w:val="2"/>
    <w:uiPriority w:val="9"/>
    <w:rsid w:val="00813DE2"/>
    <w:rPr>
      <w:rFonts w:ascii="Times New Roman" w:eastAsia="Times New Roman" w:hAnsi="Times New Roman" w:cs="Times New Roman"/>
      <w:b/>
      <w:bCs/>
      <w:sz w:val="36"/>
      <w:szCs w:val="36"/>
    </w:rPr>
  </w:style>
  <w:style w:type="paragraph" w:styleId="a6">
    <w:name w:val="Normal (Web)"/>
    <w:basedOn w:val="a"/>
    <w:uiPriority w:val="99"/>
    <w:semiHidden/>
    <w:unhideWhenUsed/>
    <w:rsid w:val="00813DE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13DE2"/>
  </w:style>
  <w:style w:type="character" w:styleId="a7">
    <w:name w:val="Emphasis"/>
    <w:basedOn w:val="a0"/>
    <w:uiPriority w:val="20"/>
    <w:qFormat/>
    <w:rsid w:val="00813D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link w:val="2Char"/>
    <w:uiPriority w:val="9"/>
    <w:qFormat/>
    <w:rsid w:val="00813DE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13DE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13DE2"/>
    <w:rPr>
      <w:rFonts w:ascii="Tahoma" w:hAnsi="Tahoma" w:cs="Tahoma"/>
      <w:sz w:val="16"/>
      <w:szCs w:val="16"/>
    </w:rPr>
  </w:style>
  <w:style w:type="paragraph" w:styleId="a4">
    <w:name w:val="header"/>
    <w:basedOn w:val="a"/>
    <w:link w:val="Char0"/>
    <w:uiPriority w:val="99"/>
    <w:unhideWhenUsed/>
    <w:rsid w:val="00813DE2"/>
    <w:pPr>
      <w:tabs>
        <w:tab w:val="center" w:pos="4153"/>
        <w:tab w:val="right" w:pos="8306"/>
      </w:tabs>
      <w:spacing w:after="0" w:line="240" w:lineRule="auto"/>
    </w:pPr>
  </w:style>
  <w:style w:type="character" w:customStyle="1" w:styleId="Char0">
    <w:name w:val="رأس الصفحة Char"/>
    <w:basedOn w:val="a0"/>
    <w:link w:val="a4"/>
    <w:uiPriority w:val="99"/>
    <w:rsid w:val="00813DE2"/>
  </w:style>
  <w:style w:type="paragraph" w:styleId="a5">
    <w:name w:val="footer"/>
    <w:basedOn w:val="a"/>
    <w:link w:val="Char1"/>
    <w:uiPriority w:val="99"/>
    <w:unhideWhenUsed/>
    <w:rsid w:val="00813DE2"/>
    <w:pPr>
      <w:tabs>
        <w:tab w:val="center" w:pos="4153"/>
        <w:tab w:val="right" w:pos="8306"/>
      </w:tabs>
      <w:spacing w:after="0" w:line="240" w:lineRule="auto"/>
    </w:pPr>
  </w:style>
  <w:style w:type="character" w:customStyle="1" w:styleId="Char1">
    <w:name w:val="تذييل الصفحة Char"/>
    <w:basedOn w:val="a0"/>
    <w:link w:val="a5"/>
    <w:uiPriority w:val="99"/>
    <w:rsid w:val="00813DE2"/>
  </w:style>
  <w:style w:type="character" w:customStyle="1" w:styleId="2Char">
    <w:name w:val="عنوان 2 Char"/>
    <w:basedOn w:val="a0"/>
    <w:link w:val="2"/>
    <w:uiPriority w:val="9"/>
    <w:rsid w:val="00813DE2"/>
    <w:rPr>
      <w:rFonts w:ascii="Times New Roman" w:eastAsia="Times New Roman" w:hAnsi="Times New Roman" w:cs="Times New Roman"/>
      <w:b/>
      <w:bCs/>
      <w:sz w:val="36"/>
      <w:szCs w:val="36"/>
    </w:rPr>
  </w:style>
  <w:style w:type="paragraph" w:styleId="a6">
    <w:name w:val="Normal (Web)"/>
    <w:basedOn w:val="a"/>
    <w:uiPriority w:val="99"/>
    <w:semiHidden/>
    <w:unhideWhenUsed/>
    <w:rsid w:val="00813DE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13DE2"/>
  </w:style>
  <w:style w:type="character" w:styleId="a7">
    <w:name w:val="Emphasis"/>
    <w:basedOn w:val="a0"/>
    <w:uiPriority w:val="20"/>
    <w:qFormat/>
    <w:rsid w:val="00813D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77698">
      <w:bodyDiv w:val="1"/>
      <w:marLeft w:val="0"/>
      <w:marRight w:val="0"/>
      <w:marTop w:val="0"/>
      <w:marBottom w:val="0"/>
      <w:divBdr>
        <w:top w:val="none" w:sz="0" w:space="0" w:color="auto"/>
        <w:left w:val="none" w:sz="0" w:space="0" w:color="auto"/>
        <w:bottom w:val="none" w:sz="0" w:space="0" w:color="auto"/>
        <w:right w:val="none" w:sz="0" w:space="0" w:color="auto"/>
      </w:divBdr>
      <w:divsChild>
        <w:div w:id="29036659">
          <w:marLeft w:val="0"/>
          <w:marRight w:val="0"/>
          <w:marTop w:val="0"/>
          <w:marBottom w:val="0"/>
          <w:divBdr>
            <w:top w:val="none" w:sz="0" w:space="0" w:color="auto"/>
            <w:left w:val="none" w:sz="0" w:space="0" w:color="auto"/>
            <w:bottom w:val="none" w:sz="0" w:space="0" w:color="auto"/>
            <w:right w:val="none" w:sz="0" w:space="0" w:color="auto"/>
          </w:divBdr>
          <w:divsChild>
            <w:div w:id="1529953948">
              <w:marLeft w:val="0"/>
              <w:marRight w:val="0"/>
              <w:marTop w:val="0"/>
              <w:marBottom w:val="0"/>
              <w:divBdr>
                <w:top w:val="none" w:sz="0" w:space="0" w:color="auto"/>
                <w:left w:val="none" w:sz="0" w:space="0" w:color="auto"/>
                <w:bottom w:val="none" w:sz="0" w:space="0" w:color="auto"/>
                <w:right w:val="none" w:sz="0" w:space="0" w:color="auto"/>
              </w:divBdr>
              <w:divsChild>
                <w:div w:id="1181968580">
                  <w:marLeft w:val="0"/>
                  <w:marRight w:val="0"/>
                  <w:marTop w:val="0"/>
                  <w:marBottom w:val="0"/>
                  <w:divBdr>
                    <w:top w:val="none" w:sz="0" w:space="0" w:color="auto"/>
                    <w:left w:val="none" w:sz="0" w:space="0" w:color="auto"/>
                    <w:bottom w:val="none" w:sz="0" w:space="0" w:color="auto"/>
                    <w:right w:val="none" w:sz="0" w:space="0" w:color="auto"/>
                  </w:divBdr>
                  <w:divsChild>
                    <w:div w:id="144394207">
                      <w:marLeft w:val="0"/>
                      <w:marRight w:val="0"/>
                      <w:marTop w:val="0"/>
                      <w:marBottom w:val="0"/>
                      <w:divBdr>
                        <w:top w:val="none" w:sz="0" w:space="0" w:color="auto"/>
                        <w:left w:val="none" w:sz="0" w:space="0" w:color="auto"/>
                        <w:bottom w:val="none" w:sz="0" w:space="0" w:color="auto"/>
                        <w:right w:val="none" w:sz="0" w:space="0" w:color="auto"/>
                      </w:divBdr>
                      <w:divsChild>
                        <w:div w:id="1135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912305">
      <w:bodyDiv w:val="1"/>
      <w:marLeft w:val="0"/>
      <w:marRight w:val="0"/>
      <w:marTop w:val="0"/>
      <w:marBottom w:val="0"/>
      <w:divBdr>
        <w:top w:val="none" w:sz="0" w:space="0" w:color="auto"/>
        <w:left w:val="none" w:sz="0" w:space="0" w:color="auto"/>
        <w:bottom w:val="none" w:sz="0" w:space="0" w:color="auto"/>
        <w:right w:val="none" w:sz="0" w:space="0" w:color="auto"/>
      </w:divBdr>
      <w:divsChild>
        <w:div w:id="1992635214">
          <w:marLeft w:val="0"/>
          <w:marRight w:val="0"/>
          <w:marTop w:val="150"/>
          <w:marBottom w:val="150"/>
          <w:divBdr>
            <w:top w:val="none" w:sz="0" w:space="0" w:color="auto"/>
            <w:left w:val="none" w:sz="0" w:space="0" w:color="auto"/>
            <w:bottom w:val="none" w:sz="0" w:space="0" w:color="auto"/>
            <w:right w:val="none" w:sz="0" w:space="0" w:color="auto"/>
          </w:divBdr>
          <w:divsChild>
            <w:div w:id="6901094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745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420</Words>
  <Characters>2395</Characters>
  <Application>Microsoft Office Word</Application>
  <DocSecurity>0</DocSecurity>
  <Lines>19</Lines>
  <Paragraphs>5</Paragraphs>
  <ScaleCrop>false</ScaleCrop>
  <Company/>
  <LinksUpToDate>false</LinksUpToDate>
  <CharactersWithSpaces>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2016-11-24T21:30:00Z</dcterms:created>
  <dcterms:modified xsi:type="dcterms:W3CDTF">2016-11-24T21:37:00Z</dcterms:modified>
</cp:coreProperties>
</file>